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2A33F" w14:textId="77777777" w:rsidR="001210EC" w:rsidRPr="0072537C" w:rsidRDefault="001210EC" w:rsidP="0072537C">
      <w:pPr>
        <w:rPr>
          <w:rFonts w:ascii="Myriad Pro" w:hAnsi="Myriad Pro" w:cs="Arial"/>
          <w:b/>
        </w:rPr>
      </w:pPr>
    </w:p>
    <w:p w14:paraId="4A1DB6E7" w14:textId="1BFDA562" w:rsidR="0072537C" w:rsidRPr="0072537C" w:rsidRDefault="0072537C" w:rsidP="0072537C">
      <w:pPr>
        <w:spacing w:line="240" w:lineRule="auto"/>
        <w:jc w:val="center"/>
        <w:rPr>
          <w:rFonts w:ascii="Myriad Pro" w:hAnsi="Myriad Pro" w:cs="Arial"/>
          <w:b/>
        </w:rPr>
      </w:pPr>
      <w:r w:rsidRPr="0072537C">
        <w:rPr>
          <w:rFonts w:ascii="Myriad Pro" w:hAnsi="Myriad Pro" w:cs="Arial"/>
          <w:b/>
        </w:rPr>
        <w:t>ORÇAMENTO AMBICIOSO</w:t>
      </w:r>
      <w:r w:rsidR="0094515F">
        <w:rPr>
          <w:rFonts w:ascii="Myriad Pro" w:hAnsi="Myriad Pro" w:cs="Arial"/>
          <w:b/>
        </w:rPr>
        <w:t>, MAS</w:t>
      </w:r>
      <w:r w:rsidRPr="0072537C">
        <w:rPr>
          <w:rFonts w:ascii="Myriad Pro" w:hAnsi="Myriad Pro" w:cs="Arial"/>
          <w:b/>
        </w:rPr>
        <w:t xml:space="preserve"> REALISTA</w:t>
      </w:r>
    </w:p>
    <w:p w14:paraId="2A7A5E36" w14:textId="1C592169" w:rsidR="0072537C" w:rsidRDefault="008A4C38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Foram aprovados, </w:t>
      </w:r>
      <w:bookmarkStart w:id="0" w:name="_GoBack"/>
      <w:bookmarkEnd w:id="0"/>
      <w:r w:rsidR="0094515F" w:rsidRPr="0094515F">
        <w:rPr>
          <w:rFonts w:ascii="Myriad Pro" w:hAnsi="Myriad Pro" w:cs="Arial"/>
        </w:rPr>
        <w:t>em reunião de câmara extraordinária, o Orçamento, as Grandes O</w:t>
      </w:r>
      <w:r w:rsidR="0094515F" w:rsidRPr="0094515F">
        <w:rPr>
          <w:rFonts w:ascii="Myriad Pro" w:hAnsi="Myriad Pro" w:cs="Arial"/>
        </w:rPr>
        <w:t>p</w:t>
      </w:r>
      <w:r w:rsidR="0094515F" w:rsidRPr="0094515F">
        <w:rPr>
          <w:rFonts w:ascii="Myriad Pro" w:hAnsi="Myriad Pro" w:cs="Arial"/>
        </w:rPr>
        <w:t xml:space="preserve">ções do Plano e o Mapa de Pessoal do Município de Vagos. </w:t>
      </w:r>
      <w:r w:rsidR="0072537C" w:rsidRPr="0072537C">
        <w:rPr>
          <w:rFonts w:ascii="Myriad Pro" w:hAnsi="Myriad Pro" w:cs="Arial"/>
        </w:rPr>
        <w:t>Com um valor de mais de 17 m</w:t>
      </w:r>
      <w:r w:rsidR="0072537C" w:rsidRPr="0072537C">
        <w:rPr>
          <w:rFonts w:ascii="Myriad Pro" w:hAnsi="Myriad Pro" w:cs="Arial"/>
        </w:rPr>
        <w:t>i</w:t>
      </w:r>
      <w:r w:rsidR="0072537C" w:rsidRPr="0072537C">
        <w:rPr>
          <w:rFonts w:ascii="Myriad Pro" w:hAnsi="Myriad Pro" w:cs="Arial"/>
        </w:rPr>
        <w:t xml:space="preserve">lhões e meio de euros, </w:t>
      </w:r>
      <w:r w:rsidR="0072537C">
        <w:rPr>
          <w:rFonts w:ascii="Myriad Pro" w:hAnsi="Myriad Pro" w:cs="Arial"/>
        </w:rPr>
        <w:t>este</w:t>
      </w:r>
      <w:r w:rsidR="0072537C" w:rsidRPr="0072537C">
        <w:rPr>
          <w:rFonts w:ascii="Myriad Pro" w:hAnsi="Myriad Pro" w:cs="Arial"/>
        </w:rPr>
        <w:t xml:space="preserve"> documento apresenta uma visão ambiciosa, mas realista, das possibil</w:t>
      </w:r>
      <w:r w:rsidR="0072537C" w:rsidRPr="0072537C">
        <w:rPr>
          <w:rFonts w:ascii="Myriad Pro" w:hAnsi="Myriad Pro" w:cs="Arial"/>
        </w:rPr>
        <w:t>i</w:t>
      </w:r>
      <w:r w:rsidR="0072537C" w:rsidRPr="0072537C">
        <w:rPr>
          <w:rFonts w:ascii="Myriad Pro" w:hAnsi="Myriad Pro" w:cs="Arial"/>
        </w:rPr>
        <w:t>dades do Município para o exercício de 2016, onde os fundos comunitários contin</w:t>
      </w:r>
      <w:r w:rsidR="0072537C" w:rsidRPr="0072537C">
        <w:rPr>
          <w:rFonts w:ascii="Myriad Pro" w:hAnsi="Myriad Pro" w:cs="Arial"/>
        </w:rPr>
        <w:t>u</w:t>
      </w:r>
      <w:r w:rsidR="0072537C" w:rsidRPr="0072537C">
        <w:rPr>
          <w:rFonts w:ascii="Myriad Pro" w:hAnsi="Myriad Pro" w:cs="Arial"/>
        </w:rPr>
        <w:t>arão a ser um importante aliado do Município na construção dos nossos objetivos estratég</w:t>
      </w:r>
      <w:r w:rsidR="0072537C" w:rsidRPr="0072537C">
        <w:rPr>
          <w:rFonts w:ascii="Myriad Pro" w:hAnsi="Myriad Pro" w:cs="Arial"/>
        </w:rPr>
        <w:t>i</w:t>
      </w:r>
      <w:r w:rsidR="0072537C" w:rsidRPr="0072537C">
        <w:rPr>
          <w:rFonts w:ascii="Myriad Pro" w:hAnsi="Myriad Pro" w:cs="Arial"/>
        </w:rPr>
        <w:t>cos.</w:t>
      </w:r>
    </w:p>
    <w:p w14:paraId="6B2A8B2C" w14:textId="337D0360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Por isso, será fundamental o início da abordagem ao Portugal 2020 e aos mecanismos de financiamento aí disponíveis.</w:t>
      </w:r>
    </w:p>
    <w:p w14:paraId="323B61B5" w14:textId="77777777" w:rsidR="0068521F" w:rsidRPr="0072537C" w:rsidRDefault="0068521F" w:rsidP="0072537C">
      <w:pPr>
        <w:spacing w:line="240" w:lineRule="auto"/>
        <w:contextualSpacing/>
        <w:jc w:val="both"/>
        <w:rPr>
          <w:rFonts w:ascii="Myriad Pro" w:hAnsi="Myriad Pro" w:cs="Arial"/>
        </w:rPr>
      </w:pPr>
    </w:p>
    <w:p w14:paraId="5A2A044E" w14:textId="77777777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Foi, ainda, definido como critério mais importante, para o decurso do ano económico 2016, a continuação da reestruturação financeira do Município de Vagos.</w:t>
      </w:r>
    </w:p>
    <w:p w14:paraId="6381D4FC" w14:textId="66DD599D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De facto, 2016 será um ano de viragem do ponto de vista económico. Porém, o atingir de determinados objetivos não nos pode conduzir a um caminho diferente do seguido até aqui.</w:t>
      </w:r>
      <w:r>
        <w:rPr>
          <w:rFonts w:ascii="Myriad Pro" w:hAnsi="Myriad Pro" w:cs="Arial"/>
        </w:rPr>
        <w:br/>
      </w:r>
      <w:r w:rsidRPr="0072537C">
        <w:rPr>
          <w:rFonts w:ascii="Myriad Pro" w:hAnsi="Myriad Pro" w:cs="Arial"/>
        </w:rPr>
        <w:t xml:space="preserve">Nesse sentido, </w:t>
      </w:r>
      <w:r w:rsidR="0094515F">
        <w:rPr>
          <w:rFonts w:ascii="Myriad Pro" w:hAnsi="Myriad Pro" w:cs="Arial"/>
        </w:rPr>
        <w:t>o Município vai</w:t>
      </w:r>
      <w:r w:rsidRPr="0072537C">
        <w:rPr>
          <w:rFonts w:ascii="Myriad Pro" w:hAnsi="Myriad Pro" w:cs="Arial"/>
        </w:rPr>
        <w:t xml:space="preserve"> continuar no caminho da diminuição do endividamento, da redução dos prazos médios de pagamento, do fim dos pagamentos em atraso e no cumpr</w:t>
      </w:r>
      <w:r w:rsidRPr="0072537C">
        <w:rPr>
          <w:rFonts w:ascii="Myriad Pro" w:hAnsi="Myriad Pro" w:cs="Arial"/>
        </w:rPr>
        <w:t>i</w:t>
      </w:r>
      <w:r w:rsidRPr="0072537C">
        <w:rPr>
          <w:rFonts w:ascii="Myriad Pro" w:hAnsi="Myriad Pro" w:cs="Arial"/>
        </w:rPr>
        <w:t>mento dos compromissos assumidos com os parceiros que trabalham com o nosso Munic</w:t>
      </w:r>
      <w:r w:rsidRPr="0072537C">
        <w:rPr>
          <w:rFonts w:ascii="Myriad Pro" w:hAnsi="Myriad Pro" w:cs="Arial"/>
        </w:rPr>
        <w:t>í</w:t>
      </w:r>
      <w:r w:rsidRPr="0072537C">
        <w:rPr>
          <w:rFonts w:ascii="Myriad Pro" w:hAnsi="Myriad Pro" w:cs="Arial"/>
        </w:rPr>
        <w:t>pio.</w:t>
      </w:r>
    </w:p>
    <w:p w14:paraId="38FF4B3E" w14:textId="77777777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Ao nível da Administração Geral, e tendo como objetivo que os serviços municipais possam prestar um melhor e mais eficaz serviço ao munícipe, vamos continuar a apostar, em 2016, na melhoria das condições de funcionamento dos serviços.</w:t>
      </w:r>
    </w:p>
    <w:p w14:paraId="26FDDC1A" w14:textId="34F662C4" w:rsidR="0072537C" w:rsidRP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Este processo, em conjunto com uma estratégia de aproximação da administração do cid</w:t>
      </w:r>
      <w:r w:rsidRPr="0072537C">
        <w:rPr>
          <w:rFonts w:ascii="Myriad Pro" w:hAnsi="Myriad Pro" w:cs="Arial"/>
        </w:rPr>
        <w:t>a</w:t>
      </w:r>
      <w:r w:rsidRPr="0072537C">
        <w:rPr>
          <w:rFonts w:ascii="Myriad Pro" w:hAnsi="Myriad Pro" w:cs="Arial"/>
        </w:rPr>
        <w:t>dão, deverá conduzir a ganhos de eficiência dos serviços que os cidadãos deverão sentir no momento da sua relação com a autarquia.</w:t>
      </w:r>
    </w:p>
    <w:p w14:paraId="73F1A763" w14:textId="77777777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Neste campo, de referir, também, que o ano 2016 será de implementação do Espaço do C</w:t>
      </w:r>
      <w:r w:rsidRPr="0072537C">
        <w:rPr>
          <w:rFonts w:ascii="Myriad Pro" w:hAnsi="Myriad Pro" w:cs="Arial"/>
        </w:rPr>
        <w:t>i</w:t>
      </w:r>
      <w:r w:rsidRPr="0072537C">
        <w:rPr>
          <w:rFonts w:ascii="Myriad Pro" w:hAnsi="Myriad Pro" w:cs="Arial"/>
        </w:rPr>
        <w:t>dadão que irá trazer uma elevada quantidade de serviços de utilidade pública aos Vague</w:t>
      </w:r>
      <w:r w:rsidRPr="0072537C">
        <w:rPr>
          <w:rFonts w:ascii="Myriad Pro" w:hAnsi="Myriad Pro" w:cs="Arial"/>
        </w:rPr>
        <w:t>n</w:t>
      </w:r>
      <w:r w:rsidRPr="0072537C">
        <w:rPr>
          <w:rFonts w:ascii="Myriad Pro" w:hAnsi="Myriad Pro" w:cs="Arial"/>
        </w:rPr>
        <w:t>ses.</w:t>
      </w:r>
    </w:p>
    <w:p w14:paraId="27B890BE" w14:textId="77777777" w:rsidR="0072537C" w:rsidRP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</w:p>
    <w:p w14:paraId="18AF67EB" w14:textId="77777777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O setor da Educação tem sido uma das apostas mais consistentes do Município nos últimos anos. Porém, é fundamental que se proceda, em 2016, à revisão da carta educativa. Esta alt</w:t>
      </w:r>
      <w:r w:rsidRPr="0072537C">
        <w:rPr>
          <w:rFonts w:ascii="Myriad Pro" w:hAnsi="Myriad Pro" w:cs="Arial"/>
        </w:rPr>
        <w:t>e</w:t>
      </w:r>
      <w:r w:rsidRPr="0072537C">
        <w:rPr>
          <w:rFonts w:ascii="Myriad Pro" w:hAnsi="Myriad Pro" w:cs="Arial"/>
        </w:rPr>
        <w:t>ração terá que apontar no sentido de adequar este instrumento às novas condições de f</w:t>
      </w:r>
      <w:r w:rsidRPr="0072537C">
        <w:rPr>
          <w:rFonts w:ascii="Myriad Pro" w:hAnsi="Myriad Pro" w:cs="Arial"/>
        </w:rPr>
        <w:t>i</w:t>
      </w:r>
      <w:r w:rsidRPr="0072537C">
        <w:rPr>
          <w:rFonts w:ascii="Myriad Pro" w:hAnsi="Myriad Pro" w:cs="Arial"/>
        </w:rPr>
        <w:t>nanciamento dos estabelecimentos de ensino e, também, aos mais recentes dados dem</w:t>
      </w:r>
      <w:r w:rsidRPr="0072537C">
        <w:rPr>
          <w:rFonts w:ascii="Myriad Pro" w:hAnsi="Myriad Pro" w:cs="Arial"/>
        </w:rPr>
        <w:t>o</w:t>
      </w:r>
      <w:r w:rsidRPr="0072537C">
        <w:rPr>
          <w:rFonts w:ascii="Myriad Pro" w:hAnsi="Myriad Pro" w:cs="Arial"/>
        </w:rPr>
        <w:t>gráficos do Concelho.</w:t>
      </w:r>
    </w:p>
    <w:p w14:paraId="1C326C07" w14:textId="77777777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Quanto à Ação Social, é fundamental continuar o apoio (nomeadamente financeiro) e trab</w:t>
      </w:r>
      <w:r w:rsidRPr="0072537C">
        <w:rPr>
          <w:rFonts w:ascii="Myriad Pro" w:hAnsi="Myriad Pro" w:cs="Arial"/>
        </w:rPr>
        <w:t>a</w:t>
      </w:r>
      <w:r w:rsidRPr="0072537C">
        <w:rPr>
          <w:rFonts w:ascii="Myriad Pro" w:hAnsi="Myriad Pro" w:cs="Arial"/>
        </w:rPr>
        <w:t xml:space="preserve">lho de parceria com as nossas </w:t>
      </w:r>
      <w:proofErr w:type="spellStart"/>
      <w:r w:rsidRPr="0072537C">
        <w:rPr>
          <w:rFonts w:ascii="Myriad Pro" w:hAnsi="Myriad Pro" w:cs="Arial"/>
        </w:rPr>
        <w:t>IPSS´s</w:t>
      </w:r>
      <w:proofErr w:type="spellEnd"/>
      <w:r w:rsidRPr="0072537C">
        <w:rPr>
          <w:rFonts w:ascii="Myriad Pro" w:hAnsi="Myriad Pro" w:cs="Arial"/>
        </w:rPr>
        <w:t xml:space="preserve"> e Misericórdia, pedras estruturais no acompanhamento dos estratos sociais mais desfavorecidos e, também, no constante acompanhamento da área da educação.</w:t>
      </w:r>
    </w:p>
    <w:p w14:paraId="55671139" w14:textId="77777777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A habitação social, com projetos de requalificação dos Bairros Sociais do Município, que in</w:t>
      </w:r>
      <w:r w:rsidRPr="0072537C">
        <w:rPr>
          <w:rFonts w:ascii="Myriad Pro" w:hAnsi="Myriad Pro" w:cs="Arial"/>
        </w:rPr>
        <w:t>i</w:t>
      </w:r>
      <w:r w:rsidRPr="0072537C">
        <w:rPr>
          <w:rFonts w:ascii="Myriad Pro" w:hAnsi="Myriad Pro" w:cs="Arial"/>
        </w:rPr>
        <w:t>ciarão em 2016, bem como o constante e diversificado apoio a famílias carenciadas e, ta</w:t>
      </w:r>
      <w:r w:rsidRPr="0072537C">
        <w:rPr>
          <w:rFonts w:ascii="Myriad Pro" w:hAnsi="Myriad Pro" w:cs="Arial"/>
        </w:rPr>
        <w:t>m</w:t>
      </w:r>
      <w:r w:rsidRPr="0072537C">
        <w:rPr>
          <w:rFonts w:ascii="Myriad Pro" w:hAnsi="Myriad Pro" w:cs="Arial"/>
        </w:rPr>
        <w:t>bém, o sempre presente apoio à nossa Comissão de Proteção de Crianças e Jovens, continu</w:t>
      </w:r>
      <w:r w:rsidRPr="0072537C">
        <w:rPr>
          <w:rFonts w:ascii="Myriad Pro" w:hAnsi="Myriad Pro" w:cs="Arial"/>
        </w:rPr>
        <w:t>a</w:t>
      </w:r>
      <w:r w:rsidRPr="0072537C">
        <w:rPr>
          <w:rFonts w:ascii="Myriad Pro" w:hAnsi="Myriad Pro" w:cs="Arial"/>
        </w:rPr>
        <w:t>rão a ser vetores de atuação deste executivo.</w:t>
      </w:r>
    </w:p>
    <w:p w14:paraId="219EB9BF" w14:textId="77777777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lastRenderedPageBreak/>
        <w:t>Ao nível do Planeamento, é de destacar o Plano estratégico elaborado em conjunto com a Universidade de Aveiro.</w:t>
      </w:r>
    </w:p>
    <w:p w14:paraId="0F8FB915" w14:textId="6148926D" w:rsidR="0072537C" w:rsidRP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Este foi o primeiro grande processo de consulta pública realizada no Município e veio ajudar a definir uma série de políticas, objetivos e ações que terão que ser implementados nos pr</w:t>
      </w:r>
      <w:r w:rsidRPr="0072537C">
        <w:rPr>
          <w:rFonts w:ascii="Myriad Pro" w:hAnsi="Myriad Pro" w:cs="Arial"/>
        </w:rPr>
        <w:t>ó</w:t>
      </w:r>
      <w:r w:rsidRPr="0072537C">
        <w:rPr>
          <w:rFonts w:ascii="Myriad Pro" w:hAnsi="Myriad Pro" w:cs="Arial"/>
        </w:rPr>
        <w:t>ximos 20 anos, de modo a contribuir, de forma decisiva, para que o Município de Vagos seja cada vez mais próspero, dinâmico e empreendedor, capaz de gerar riqueza e postos de tr</w:t>
      </w:r>
      <w:r w:rsidRPr="0072537C">
        <w:rPr>
          <w:rFonts w:ascii="Myriad Pro" w:hAnsi="Myriad Pro" w:cs="Arial"/>
        </w:rPr>
        <w:t>a</w:t>
      </w:r>
      <w:r w:rsidRPr="0072537C">
        <w:rPr>
          <w:rFonts w:ascii="Myriad Pro" w:hAnsi="Myriad Pro" w:cs="Arial"/>
        </w:rPr>
        <w:t>balho, constituindo objetivo final melhorar a qualidade de vida dos seus cidadãos.</w:t>
      </w:r>
      <w:r>
        <w:rPr>
          <w:rFonts w:ascii="Myriad Pro" w:hAnsi="Myriad Pro" w:cs="Arial"/>
        </w:rPr>
        <w:br/>
      </w:r>
      <w:r w:rsidRPr="0072537C">
        <w:rPr>
          <w:rFonts w:ascii="Myriad Pro" w:hAnsi="Myriad Pro" w:cs="Arial"/>
        </w:rPr>
        <w:t>A este nível, é de destacar, ainda, os diversos projetos que deverão surgir no seguimento da Operação de Reabilitação Urbana, já contratualizada, e que deverá estar concluída ainda no ano 2015.</w:t>
      </w:r>
    </w:p>
    <w:p w14:paraId="17BC2749" w14:textId="02BEC2C2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Destacamos, também, a elevada quantidade de Planos que pretendemos fazer no ano 201</w:t>
      </w:r>
      <w:r w:rsidR="00EF79A4">
        <w:rPr>
          <w:rFonts w:ascii="Myriad Pro" w:hAnsi="Myriad Pro" w:cs="Arial"/>
        </w:rPr>
        <w:t>6, para além da revisão do Programa</w:t>
      </w:r>
      <w:r w:rsidRPr="0072537C">
        <w:rPr>
          <w:rFonts w:ascii="Myriad Pro" w:hAnsi="Myriad Pro" w:cs="Arial"/>
        </w:rPr>
        <w:t xml:space="preserve"> de Orla Costeira Ovar – Marinha Grande, que está em fase de conclusão.</w:t>
      </w:r>
    </w:p>
    <w:p w14:paraId="3D78D5AA" w14:textId="77777777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Também muito importante é o contínuo apoio que queremos dar às nossas Associações Desportivas, Recreativas, Culturais e Outras, e ainda a continuação dos programas municipais e do apoio a atividades que ajudem a divulgar o nome do Município, nomeadamente ações de caráter regional, nacional e internacional.</w:t>
      </w:r>
    </w:p>
    <w:p w14:paraId="18758A57" w14:textId="5FA9AA54" w:rsid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Por forma a dar continuidade ao Projeto da Quinta do Ega, 2016 deverá ser o ano de concr</w:t>
      </w:r>
      <w:r w:rsidRPr="0072537C">
        <w:rPr>
          <w:rFonts w:ascii="Myriad Pro" w:hAnsi="Myriad Pro" w:cs="Arial"/>
        </w:rPr>
        <w:t>e</w:t>
      </w:r>
      <w:r w:rsidRPr="0072537C">
        <w:rPr>
          <w:rFonts w:ascii="Myriad Pro" w:hAnsi="Myriad Pro" w:cs="Arial"/>
        </w:rPr>
        <w:t>tização de uma segunda fase deste projeto, criando condições para a prática de diversas atividades lúdicas e desportivas.</w:t>
      </w:r>
    </w:p>
    <w:p w14:paraId="685F9456" w14:textId="77777777" w:rsidR="0072537C" w:rsidRPr="0072537C" w:rsidRDefault="0072537C" w:rsidP="0072537C">
      <w:pPr>
        <w:spacing w:line="240" w:lineRule="auto"/>
        <w:contextualSpacing/>
        <w:jc w:val="both"/>
        <w:rPr>
          <w:rFonts w:ascii="Myriad Pro" w:hAnsi="Myriad Pro" w:cs="Arial"/>
        </w:rPr>
      </w:pPr>
    </w:p>
    <w:p w14:paraId="7048DE41" w14:textId="77777777" w:rsidR="0072537C" w:rsidRPr="0072537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O turismo é um dos vetores de maior desenvolvimento e crescimento no país e na região, para o qual o Município tem contribuído de forma evidente. Nesta área destacamos a cont</w:t>
      </w:r>
      <w:r w:rsidRPr="0072537C">
        <w:rPr>
          <w:rFonts w:ascii="Myriad Pro" w:hAnsi="Myriad Pro" w:cs="Arial"/>
        </w:rPr>
        <w:t>i</w:t>
      </w:r>
      <w:r w:rsidRPr="0072537C">
        <w:rPr>
          <w:rFonts w:ascii="Myriad Pro" w:hAnsi="Myriad Pro" w:cs="Arial"/>
        </w:rPr>
        <w:t>nuação da aposta na requalificação da Praia da Vagueira, da Quinta do Ega e de diversos outros espaços que, do ponto de vista turístico e ambiental, podem ter uma grande impo</w:t>
      </w:r>
      <w:r w:rsidRPr="0072537C">
        <w:rPr>
          <w:rFonts w:ascii="Myriad Pro" w:hAnsi="Myriad Pro" w:cs="Arial"/>
        </w:rPr>
        <w:t>r</w:t>
      </w:r>
      <w:r w:rsidRPr="0072537C">
        <w:rPr>
          <w:rFonts w:ascii="Myriad Pro" w:hAnsi="Myriad Pro" w:cs="Arial"/>
        </w:rPr>
        <w:t>tância no Concelho e na Região.</w:t>
      </w:r>
    </w:p>
    <w:p w14:paraId="2CF22E4E" w14:textId="5F7254FE" w:rsidR="00F024D4" w:rsidRPr="001210EC" w:rsidRDefault="0072537C" w:rsidP="0072537C">
      <w:pPr>
        <w:spacing w:line="240" w:lineRule="auto"/>
        <w:jc w:val="both"/>
        <w:rPr>
          <w:rFonts w:ascii="Myriad Pro" w:hAnsi="Myriad Pro" w:cs="Arial"/>
        </w:rPr>
      </w:pPr>
      <w:r w:rsidRPr="0072537C">
        <w:rPr>
          <w:rFonts w:ascii="Myriad Pro" w:hAnsi="Myriad Pro" w:cs="Arial"/>
        </w:rPr>
        <w:t>Uma das fortes apostas, durante o ano de 2016, é a requalificação da rede viária municipal, esforço esse que, ao que tudo indica, terá ainda um grande impulso no corrente ano.</w:t>
      </w:r>
      <w:r>
        <w:rPr>
          <w:rFonts w:ascii="Myriad Pro" w:hAnsi="Myriad Pro" w:cs="Arial"/>
        </w:rPr>
        <w:br/>
      </w:r>
      <w:r w:rsidRPr="0072537C">
        <w:rPr>
          <w:rFonts w:ascii="Myriad Pro" w:hAnsi="Myriad Pro" w:cs="Arial"/>
        </w:rPr>
        <w:t>A requalificação da ZIV é fundamental para dar um “novo ar” a um complexo industrial que tem vindo a readquirir uma grande pujança nos últimos dois anos, com diversos projetos importantes que se encontram a surgir e outros que continuam a crescer.</w:t>
      </w:r>
      <w:r>
        <w:rPr>
          <w:rFonts w:ascii="Myriad Pro" w:hAnsi="Myriad Pro" w:cs="Arial"/>
        </w:rPr>
        <w:br/>
      </w:r>
      <w:r w:rsidRPr="0072537C">
        <w:rPr>
          <w:rFonts w:ascii="Myriad Pro" w:hAnsi="Myriad Pro" w:cs="Arial"/>
        </w:rPr>
        <w:t>Por outro lado, a questão das acessibilidades tem sido um dos pontos sempre focados pelas empresas. A criação de um eixo para a competitividade que una a A17 à ZIV e, posteriorme</w:t>
      </w:r>
      <w:r w:rsidRPr="0072537C">
        <w:rPr>
          <w:rFonts w:ascii="Myriad Pro" w:hAnsi="Myriad Pro" w:cs="Arial"/>
        </w:rPr>
        <w:t>n</w:t>
      </w:r>
      <w:r w:rsidRPr="0072537C">
        <w:rPr>
          <w:rFonts w:ascii="Myriad Pro" w:hAnsi="Myriad Pro" w:cs="Arial"/>
        </w:rPr>
        <w:t>te, à Zona Industrial da Mota/A25, será uma enorme mais-valia no sentido de tornar as e</w:t>
      </w:r>
      <w:r w:rsidRPr="0072537C">
        <w:rPr>
          <w:rFonts w:ascii="Myriad Pro" w:hAnsi="Myriad Pro" w:cs="Arial"/>
        </w:rPr>
        <w:t>m</w:t>
      </w:r>
      <w:r w:rsidRPr="0072537C">
        <w:rPr>
          <w:rFonts w:ascii="Myriad Pro" w:hAnsi="Myriad Pro" w:cs="Arial"/>
        </w:rPr>
        <w:t>presas da ZIV mais competitivas.</w:t>
      </w:r>
    </w:p>
    <w:sectPr w:rsidR="00F024D4" w:rsidRPr="001210EC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4AFA3" w14:textId="77777777" w:rsidR="00001712" w:rsidRDefault="00001712">
      <w:r>
        <w:separator/>
      </w:r>
    </w:p>
  </w:endnote>
  <w:endnote w:type="continuationSeparator" w:id="0">
    <w:p w14:paraId="3FD68EFB" w14:textId="77777777" w:rsidR="00001712" w:rsidRDefault="0000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01712" w:rsidRPr="007872A9" w:rsidRDefault="00001712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D173E" w14:textId="77777777" w:rsidR="00001712" w:rsidRDefault="00001712">
      <w:r>
        <w:separator/>
      </w:r>
    </w:p>
  </w:footnote>
  <w:footnote w:type="continuationSeparator" w:id="0">
    <w:p w14:paraId="1E0B80CC" w14:textId="77777777" w:rsidR="00001712" w:rsidRDefault="00001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49BB48DA" w:rsidR="00001712" w:rsidRPr="001E333B" w:rsidRDefault="00001712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71 de 4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171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4C38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47429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CF77-FA57-D045-810D-62F0A708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3</cp:revision>
  <cp:lastPrinted>2014-06-12T13:27:00Z</cp:lastPrinted>
  <dcterms:created xsi:type="dcterms:W3CDTF">2015-11-04T16:36:00Z</dcterms:created>
  <dcterms:modified xsi:type="dcterms:W3CDTF">2015-11-04T16:50:00Z</dcterms:modified>
</cp:coreProperties>
</file>